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0F" w:rsidRDefault="00AE7C0F">
      <w:pPr>
        <w:pStyle w:val="Textoindependiente"/>
        <w:spacing w:before="22"/>
        <w:rPr>
          <w:rFonts w:ascii="Times New Roman"/>
        </w:rPr>
      </w:pPr>
    </w:p>
    <w:p w:rsidR="00AE7C0F" w:rsidRDefault="0003044F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INTEGRAL</w:t>
      </w:r>
    </w:p>
    <w:p w:rsidR="00AE7C0F" w:rsidRDefault="00AE7C0F">
      <w:pPr>
        <w:pStyle w:val="Textoindependiente"/>
        <w:spacing w:before="79"/>
        <w:rPr>
          <w:b/>
        </w:rPr>
      </w:pPr>
    </w:p>
    <w:p w:rsidR="00AE7C0F" w:rsidRDefault="0003044F">
      <w:pPr>
        <w:pStyle w:val="Textoindependiente"/>
        <w:spacing w:line="276" w:lineRule="auto"/>
        <w:ind w:left="100" w:right="103"/>
        <w:jc w:val="both"/>
      </w:pPr>
      <w:r>
        <w:rPr>
          <w:color w:val="808080"/>
        </w:rPr>
        <w:t>La Secretaría de Salud de la Ciudad de México a través de la Subsecretaría de Prestación de Servicios Médicos e Insumos, con domicilio en Avenida Insurgentes Norte, No. 423, piso 20, Colonia Conjunto Urbano Nonoalco Tlatelolco, Alcaldía Cuauhtémoc, C. P. 0</w:t>
      </w:r>
      <w:r>
        <w:rPr>
          <w:color w:val="808080"/>
        </w:rPr>
        <w:t>6900, Ciudad de México, es la responsable del tratamiento de los datos personales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b/>
          <w:color w:val="808080"/>
        </w:rPr>
        <w:t>“Voluntad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Anticipada”</w:t>
      </w:r>
      <w:r>
        <w:rPr>
          <w:color w:val="808080"/>
        </w:rPr>
        <w:t>, facultad que le confiere el siguiente fundamento legal:</w:t>
      </w:r>
      <w:bookmarkStart w:id="0" w:name="_GoBack"/>
      <w:bookmarkEnd w:id="0"/>
    </w:p>
    <w:p w:rsidR="00AE7C0F" w:rsidRDefault="00AE7C0F">
      <w:pPr>
        <w:pStyle w:val="Textoindependiente"/>
        <w:spacing w:before="41"/>
      </w:pPr>
    </w:p>
    <w:p w:rsidR="00AE7C0F" w:rsidRDefault="0003044F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Artículos 6, apa</w:t>
      </w:r>
      <w:r>
        <w:rPr>
          <w:color w:val="808080"/>
        </w:rPr>
        <w:t>rtado A y 16, párrafo segundo de la Constitución Política de los Estados Unidos Mexicanos; 7, apartado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 de la Constitución Política de la Ciudad de México; 166 Bis 3 fracciones V, VI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VIII, 166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Bis 4 al 166 Bis 12, 166 Bis 15 fracciones II, IV, V y VII d</w:t>
      </w:r>
      <w:r>
        <w:rPr>
          <w:color w:val="808080"/>
        </w:rPr>
        <w:t>e la Ley General de Salud; 3, fracción XI, 11, fracción I, 16, fracción XV y 40, fracciones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XIV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XXIV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México; 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 IV,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 fracción VI, 12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fracciones XXIV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XXV,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18,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19 fracción 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incisos v)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w),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 III,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149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 155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24,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XXIII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186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Transparencia,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 Pública y Rendición de Cuentas de la Ciudad de México; 3, fracción XXIX, 9, 23 fracción X, XIII,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36 y 37, fracción I y II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76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México; 3</w:t>
      </w:r>
      <w:r>
        <w:rPr>
          <w:color w:val="808080"/>
        </w:rPr>
        <w:t xml:space="preserve">, 5, 12, fracciones I, III, VI y XII y 14 de la Ley de Archivos de la Ciudad de México; 138 Bis 1, 138 Bis 22 al 138 </w:t>
      </w:r>
      <w:proofErr w:type="gramStart"/>
      <w:r>
        <w:rPr>
          <w:color w:val="808080"/>
        </w:rPr>
        <w:t>Bis</w:t>
      </w:r>
      <w:proofErr w:type="gramEnd"/>
      <w:r>
        <w:rPr>
          <w:color w:val="808080"/>
        </w:rPr>
        <w:t xml:space="preserve"> 27 del Reglamento de la Ley General de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 de Prestación de Servicios de Atención Médica; 7,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 XV 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</w:rPr>
        <w:t>terior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Poder Ejecutivo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Administración 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 63,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65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Obligados de la Ciudad de México; Numerales 4.4, 5 y 6 de la Norma Oficial Mexicana NOM-004-SSA3-2012 del Expediente </w:t>
      </w:r>
      <w:r>
        <w:rPr>
          <w:color w:val="808080"/>
          <w:spacing w:val="-2"/>
        </w:rPr>
        <w:t>Clínico.</w:t>
      </w:r>
    </w:p>
    <w:p w:rsidR="00AE7C0F" w:rsidRDefault="00AE7C0F">
      <w:pPr>
        <w:pStyle w:val="Textoindependiente"/>
        <w:spacing w:before="42"/>
      </w:pPr>
    </w:p>
    <w:p w:rsidR="00AE7C0F" w:rsidRDefault="0003044F">
      <w:pPr>
        <w:pStyle w:val="Textoindependiente"/>
        <w:spacing w:before="1" w:line="276" w:lineRule="auto"/>
        <w:ind w:left="100" w:right="108"/>
        <w:jc w:val="both"/>
      </w:pPr>
      <w:r>
        <w:rPr>
          <w:color w:val="808080"/>
        </w:rPr>
        <w:t>Los datos personales recabados, serán utilizados con la finalidad de procesar y registrar la información identificativa relaciona</w:t>
      </w:r>
      <w:r>
        <w:rPr>
          <w:color w:val="808080"/>
        </w:rPr>
        <w:t>da con los suscriptores a la Voluntad Anticipada de la Ciudad de México para vigilar el cumplimiento de su deseo al final de la vida.</w:t>
      </w:r>
    </w:p>
    <w:p w:rsidR="00AE7C0F" w:rsidRDefault="00AE7C0F">
      <w:pPr>
        <w:pStyle w:val="Textoindependiente"/>
        <w:spacing w:before="38"/>
      </w:pPr>
    </w:p>
    <w:p w:rsidR="00AE7C0F" w:rsidRDefault="0003044F">
      <w:pPr>
        <w:pStyle w:val="Textoindependiente"/>
        <w:spacing w:line="276" w:lineRule="auto"/>
        <w:ind w:left="100" w:right="109"/>
        <w:jc w:val="both"/>
      </w:pPr>
      <w:r>
        <w:rPr>
          <w:color w:val="808080"/>
        </w:rPr>
        <w:t>Para su uso, se prevé integrar de manera ordenada y sistemática la información primordial acerca de la manifestación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escr</w:t>
      </w:r>
      <w:r>
        <w:rPr>
          <w:color w:val="808080"/>
        </w:rPr>
        <w:t>ita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pacientes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sometidos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medios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 pretendan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prolongar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 vida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cuando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 encuentren en etapa terminal y, por razones médicas, sea imposible mantenerla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manera natural, protegiendo en todo momento la dignidad de la persona.</w:t>
      </w:r>
    </w:p>
    <w:p w:rsidR="00AE7C0F" w:rsidRDefault="00AE7C0F">
      <w:pPr>
        <w:pStyle w:val="Textoindependiente"/>
        <w:spacing w:before="42"/>
      </w:pPr>
    </w:p>
    <w:p w:rsidR="00AE7C0F" w:rsidRDefault="0003044F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>Así mismo, se le informa que sus datos personales 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</w:t>
      </w:r>
      <w:r>
        <w:rPr>
          <w:color w:val="808080"/>
        </w:rPr>
        <w:t>dos de la Ciudad de México.</w:t>
      </w:r>
    </w:p>
    <w:p w:rsidR="00AE7C0F" w:rsidRDefault="00AE7C0F">
      <w:pPr>
        <w:spacing w:line="276" w:lineRule="auto"/>
        <w:jc w:val="both"/>
        <w:sectPr w:rsidR="00AE7C0F">
          <w:headerReference w:type="default" r:id="rId7"/>
          <w:footerReference w:type="default" r:id="rId8"/>
          <w:type w:val="continuous"/>
          <w:pgSz w:w="12240" w:h="15840"/>
          <w:pgMar w:top="2280" w:right="900" w:bottom="1460" w:left="920" w:header="420" w:footer="1262" w:gutter="0"/>
          <w:pgNumType w:start="1"/>
          <w:cols w:space="720"/>
        </w:sectPr>
      </w:pPr>
    </w:p>
    <w:p w:rsidR="00AE7C0F" w:rsidRDefault="00AE7C0F">
      <w:pPr>
        <w:pStyle w:val="Textoindependiente"/>
        <w:spacing w:before="7"/>
      </w:pPr>
    </w:p>
    <w:p w:rsidR="00AE7C0F" w:rsidRDefault="0003044F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:rsidR="00AE7C0F" w:rsidRDefault="00AE7C0F">
      <w:pPr>
        <w:pStyle w:val="Textoindependiente"/>
        <w:spacing w:before="41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20"/>
        </w:tabs>
        <w:spacing w:line="271" w:lineRule="auto"/>
        <w:ind w:right="388"/>
      </w:pPr>
      <w:r>
        <w:rPr>
          <w:b/>
          <w:color w:val="808080"/>
        </w:rPr>
        <w:t>Secret</w:t>
      </w:r>
      <w:r>
        <w:rPr>
          <w:b/>
          <w:color w:val="808080"/>
        </w:rPr>
        <w:t>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 xml:space="preserve">Salud;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:rsidR="00AE7C0F" w:rsidRDefault="00AE7C0F">
      <w:pPr>
        <w:pStyle w:val="Textoindependiente"/>
        <w:spacing w:before="51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left="856" w:right="528" w:hanging="365"/>
      </w:pPr>
      <w:r>
        <w:rPr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 relacionados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justificados 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 usuarios, en relación con las quejas planteadas y en su caso, aquéllas otras que sean necesarias para dilucidar quejas y realizar las diligencias correspondientes.</w:t>
      </w:r>
    </w:p>
    <w:p w:rsidR="00AE7C0F" w:rsidRDefault="00AE7C0F">
      <w:pPr>
        <w:pStyle w:val="Textoindependiente"/>
        <w:spacing w:before="38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line="273" w:lineRule="auto"/>
        <w:ind w:left="856" w:right="532" w:hanging="365"/>
      </w:pPr>
      <w:r>
        <w:rPr>
          <w:b/>
          <w:color w:val="808080"/>
        </w:rPr>
        <w:t>Sistema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para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el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Desarrollo Integral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Familia;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cumplir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 materia de la prestación de atención, cuidado y desarrollo integral infantil.</w:t>
      </w:r>
    </w:p>
    <w:p w:rsidR="00AE7C0F" w:rsidRDefault="00AE7C0F">
      <w:pPr>
        <w:pStyle w:val="Textoindependiente"/>
        <w:spacing w:before="46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</w:t>
      </w:r>
      <w:r>
        <w:rPr>
          <w:color w:val="808080"/>
        </w:rPr>
        <w:t>a justicia en la aplicación del derecho y reparación del daño.</w:t>
      </w:r>
    </w:p>
    <w:p w:rsidR="00AE7C0F" w:rsidRDefault="00AE7C0F">
      <w:pPr>
        <w:pStyle w:val="Textoindependiente"/>
        <w:spacing w:before="38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20"/>
        </w:tabs>
        <w:spacing w:before="1" w:line="276" w:lineRule="auto"/>
        <w:ind w:right="385"/>
      </w:pPr>
      <w:r>
        <w:rPr>
          <w:b/>
          <w:color w:val="808080"/>
        </w:rPr>
        <w:t>Sistema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para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el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Desarrollo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Integral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Familia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-1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fomentar la prestación de servicios de asistencia social, apoyando al desarrollo de la familia y el cuidado de las niñas, niños y adolescentes en situación de vulnerabilidad, así como a las personas con discapacidad, contribuyendo al mejor desarrollo de la</w:t>
      </w:r>
      <w:r>
        <w:rPr>
          <w:color w:val="808080"/>
        </w:rPr>
        <w:t>s familias de la Ciudad de México.</w:t>
      </w:r>
    </w:p>
    <w:p w:rsidR="00AE7C0F" w:rsidRDefault="00AE7C0F">
      <w:pPr>
        <w:pStyle w:val="Textoindependiente"/>
        <w:spacing w:before="41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left="856" w:right="531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 xml:space="preserve">se proporcionará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</w:t>
      </w:r>
      <w:r>
        <w:rPr>
          <w:color w:val="808080"/>
        </w:rPr>
        <w:t xml:space="preserve"> combate a la corrupción.</w:t>
      </w:r>
    </w:p>
    <w:p w:rsidR="00AE7C0F" w:rsidRDefault="00AE7C0F">
      <w:pPr>
        <w:pStyle w:val="Textoindependiente"/>
        <w:spacing w:before="41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left="856" w:right="538" w:hanging="365"/>
      </w:pPr>
      <w:r>
        <w:rPr>
          <w:b/>
          <w:color w:val="808080"/>
        </w:rPr>
        <w:t>Instituto Nacional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Transparencia, Acceso 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Información y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Protección 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Datos Personales; </w:t>
      </w:r>
      <w:r>
        <w:rPr>
          <w:color w:val="808080"/>
        </w:rPr>
        <w:t>a fin de conocer los recursos de revisión que por su interés y trascendencia así lo ameriten y la sustanciación a los recursos de inco</w:t>
      </w:r>
      <w:r>
        <w:rPr>
          <w:color w:val="808080"/>
        </w:rPr>
        <w:t>nformidad a las determinaciones o resoluciones del Instituto de Acceso a la Información Pública y Protección de Datos Personales de la Ciudad de México.</w:t>
      </w:r>
    </w:p>
    <w:p w:rsidR="00AE7C0F" w:rsidRDefault="00AE7C0F">
      <w:pPr>
        <w:pStyle w:val="Textoindependiente"/>
        <w:spacing w:before="40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left="856" w:right="531" w:hanging="365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 denuncias por presuntas violaciones a los derechos humanos por parte de algún servidor público.</w:t>
      </w:r>
    </w:p>
    <w:p w:rsidR="00AE7C0F" w:rsidRDefault="00AE7C0F">
      <w:pPr>
        <w:spacing w:line="276" w:lineRule="auto"/>
        <w:jc w:val="both"/>
        <w:sectPr w:rsidR="00AE7C0F">
          <w:pgSz w:w="12240" w:h="15840"/>
          <w:pgMar w:top="2280" w:right="900" w:bottom="1460" w:left="920" w:header="420" w:footer="1262" w:gutter="0"/>
          <w:cols w:space="720"/>
        </w:sectPr>
      </w:pPr>
    </w:p>
    <w:p w:rsidR="00AE7C0F" w:rsidRDefault="00AE7C0F">
      <w:pPr>
        <w:pStyle w:val="Textoindependiente"/>
        <w:spacing w:before="4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before="1" w:line="276" w:lineRule="auto"/>
        <w:ind w:left="856" w:right="532" w:hanging="365"/>
      </w:pPr>
      <w:r>
        <w:rPr>
          <w:b/>
          <w:color w:val="808080"/>
        </w:rPr>
        <w:t>Instituto de Acceso a la Información Pública y Protección de Datos Personales de la Ciudad</w:t>
      </w:r>
      <w:r>
        <w:rPr>
          <w:b/>
          <w:color w:val="808080"/>
        </w:rPr>
        <w:t xml:space="preserve">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Ley de Protecci</w:t>
      </w:r>
      <w:r>
        <w:rPr>
          <w:color w:val="808080"/>
        </w:rPr>
        <w:t>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AE7C0F" w:rsidRDefault="00AE7C0F">
      <w:pPr>
        <w:pStyle w:val="Textoindependiente"/>
        <w:spacing w:before="42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 requiera para dar el seguimiento correspondiente a investigaciones de quejas y denuncias por presuntas vio</w:t>
      </w:r>
      <w:r>
        <w:rPr>
          <w:color w:val="808080"/>
        </w:rPr>
        <w:t>laciones a los derechos humanos.</w:t>
      </w:r>
    </w:p>
    <w:p w:rsidR="00AE7C0F" w:rsidRDefault="00AE7C0F">
      <w:pPr>
        <w:pStyle w:val="Textoindependiente"/>
        <w:spacing w:before="41"/>
      </w:pPr>
    </w:p>
    <w:p w:rsidR="00AE7C0F" w:rsidRDefault="0003044F">
      <w:pPr>
        <w:pStyle w:val="Textoindependiente"/>
        <w:spacing w:before="1"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documento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 elabora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Notaría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Pública, 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 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requisita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Hospitales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México y la Red Hospitalaria de esta Dependencia:</w:t>
      </w:r>
    </w:p>
    <w:p w:rsidR="00AE7C0F" w:rsidRDefault="00AE7C0F">
      <w:pPr>
        <w:pStyle w:val="Textoindependiente"/>
        <w:spacing w:before="38"/>
      </w:pP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line="276" w:lineRule="auto"/>
        <w:ind w:left="856" w:right="815" w:hanging="365"/>
      </w:pPr>
      <w:r>
        <w:rPr>
          <w:b/>
          <w:color w:val="808080"/>
        </w:rPr>
        <w:t xml:space="preserve">Procedimiento de obtención de datos: </w:t>
      </w:r>
      <w:r>
        <w:rPr>
          <w:color w:val="808080"/>
        </w:rPr>
        <w:t xml:space="preserve">De forma verbal y a través de formatos físicos que se integran al documento que elabora la Notaría Pública o bien, el formato que se requisita en los Hospitales del </w:t>
      </w:r>
      <w:r>
        <w:rPr>
          <w:color w:val="808080"/>
        </w:rPr>
        <w:t>Sistema de la Ciudad de México y la Red Hospitalaria de esta Dependencia.</w:t>
      </w: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before="226" w:line="276" w:lineRule="auto"/>
        <w:ind w:left="856" w:right="809" w:hanging="365"/>
      </w:pPr>
      <w:r>
        <w:rPr>
          <w:b/>
          <w:color w:val="808080"/>
        </w:rPr>
        <w:t xml:space="preserve">Datos identificativos: </w:t>
      </w:r>
      <w:r>
        <w:rPr>
          <w:color w:val="808080"/>
        </w:rPr>
        <w:t>Nombre, domicilio, estado civil, firma, lugar y fecha de nacimiento, edad, sexo, identificación oficial, ocupación y teléfono.</w:t>
      </w:r>
    </w:p>
    <w:p w:rsidR="00AE7C0F" w:rsidRDefault="0003044F">
      <w:pPr>
        <w:pStyle w:val="Prrafodelista"/>
        <w:numPr>
          <w:ilvl w:val="0"/>
          <w:numId w:val="1"/>
        </w:numPr>
        <w:tabs>
          <w:tab w:val="left" w:pos="855"/>
        </w:tabs>
        <w:spacing w:before="225"/>
        <w:ind w:left="855" w:right="0" w:hanging="366"/>
        <w:jc w:val="left"/>
      </w:pPr>
      <w:r>
        <w:rPr>
          <w:b/>
          <w:color w:val="808080"/>
        </w:rPr>
        <w:t>Datos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sobre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Salud:</w:t>
      </w:r>
      <w:r>
        <w:rPr>
          <w:b/>
          <w:color w:val="808080"/>
          <w:spacing w:val="36"/>
        </w:rPr>
        <w:t xml:space="preserve"> </w:t>
      </w:r>
      <w:r>
        <w:rPr>
          <w:color w:val="808080"/>
        </w:rPr>
        <w:t>Diagnóstico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etapa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terminal.</w:t>
      </w: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before="264" w:line="276" w:lineRule="auto"/>
        <w:ind w:left="856" w:right="808" w:hanging="365"/>
      </w:pPr>
      <w:r>
        <w:rPr>
          <w:b/>
          <w:color w:val="808080"/>
        </w:rPr>
        <w:t xml:space="preserve">Datos especialmente protegidos (Sensibles): </w:t>
      </w:r>
      <w:r>
        <w:rPr>
          <w:color w:val="808080"/>
        </w:rPr>
        <w:t>Convicciones religiosas, preferencia sexual, antecedentes médicos (enfermedades crónicas, propias y de familiares) y nacionalidad.</w:t>
      </w:r>
    </w:p>
    <w:p w:rsidR="00AE7C0F" w:rsidRDefault="0003044F">
      <w:pPr>
        <w:pStyle w:val="Prrafodelista"/>
        <w:numPr>
          <w:ilvl w:val="0"/>
          <w:numId w:val="1"/>
        </w:numPr>
        <w:tabs>
          <w:tab w:val="left" w:pos="856"/>
        </w:tabs>
        <w:spacing w:before="225" w:line="276" w:lineRule="auto"/>
        <w:ind w:left="856" w:right="812" w:hanging="365"/>
      </w:pPr>
      <w:r>
        <w:rPr>
          <w:b/>
          <w:color w:val="808080"/>
        </w:rPr>
        <w:t xml:space="preserve">Datos de carácter obligatorio y facultativo: </w:t>
      </w:r>
      <w:r>
        <w:rPr>
          <w:color w:val="808080"/>
        </w:rPr>
        <w:t>Todos</w:t>
      </w:r>
      <w:r>
        <w:rPr>
          <w:color w:val="808080"/>
        </w:rPr>
        <w:t xml:space="preserve"> los datos recabados son necesarios para integrar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documento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elaborado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Notaría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formato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requisitado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Hospitales del Sistema de Salud y de la Red Hospitalaria de esta Dependencia.</w:t>
      </w:r>
    </w:p>
    <w:p w:rsidR="00AE7C0F" w:rsidRDefault="00AE7C0F">
      <w:pPr>
        <w:pStyle w:val="Textoindependiente"/>
        <w:spacing w:before="43"/>
      </w:pPr>
    </w:p>
    <w:p w:rsidR="00AE7C0F" w:rsidRDefault="0003044F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>Dicha información,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 conservará cinco años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el</w:t>
      </w:r>
      <w:r>
        <w:rPr>
          <w:color w:val="808080"/>
        </w:rPr>
        <w:t xml:space="preserve"> archivo de trámite y cinco años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el archivo de concentración, de acuerdo con las vigencias establecidas en el Catálogo de Disposición Documental de esta Dependencia.</w:t>
      </w:r>
    </w:p>
    <w:p w:rsidR="00AE7C0F" w:rsidRDefault="00AE7C0F">
      <w:pPr>
        <w:pStyle w:val="Textoindependiente"/>
        <w:spacing w:before="38"/>
      </w:pPr>
    </w:p>
    <w:p w:rsidR="00AE7C0F" w:rsidRDefault="0003044F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 xml:space="preserve">Usted podrá ejercer sus derechos de acceso, rectificación, cancelación u oposición de </w:t>
      </w:r>
      <w:r>
        <w:rPr>
          <w:color w:val="808080"/>
        </w:rPr>
        <w:t>sus datos personales (derechos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ARCO),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revocación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consentimiento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Secretaría de Salud de la Ciudad de México, con domicilio en Avenida Insurgentes Norte, No. 423, planta baja, Colonia Conjunto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Nonoalco Tlatelolco,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Alcaldía Cuauhtémoc,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C.P.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06900,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número telefónico 55 5132 1250, extensión 1</w:t>
      </w:r>
      <w:r>
        <w:rPr>
          <w:color w:val="808080"/>
        </w:rPr>
        <w:t>344, o bien, a través de los correos electrónicos:</w:t>
      </w:r>
    </w:p>
    <w:p w:rsidR="00AE7C0F" w:rsidRDefault="00AE7C0F">
      <w:pPr>
        <w:spacing w:line="276" w:lineRule="auto"/>
        <w:jc w:val="both"/>
        <w:sectPr w:rsidR="00AE7C0F">
          <w:pgSz w:w="12240" w:h="15840"/>
          <w:pgMar w:top="2280" w:right="900" w:bottom="1460" w:left="920" w:header="420" w:footer="1262" w:gutter="0"/>
          <w:cols w:space="720"/>
        </w:sectPr>
      </w:pPr>
    </w:p>
    <w:p w:rsidR="00AE7C0F" w:rsidRDefault="00AE7C0F">
      <w:pPr>
        <w:pStyle w:val="Textoindependiente"/>
        <w:spacing w:before="7"/>
      </w:pPr>
    </w:p>
    <w:p w:rsidR="00AE7C0F" w:rsidRDefault="0003044F">
      <w:pPr>
        <w:pStyle w:val="Textoindependiente"/>
        <w:ind w:left="1" w:right="14"/>
        <w:jc w:val="center"/>
      </w:pPr>
      <w:hyperlink r:id="rId9">
        <w:r>
          <w:rPr>
            <w:color w:val="0000FF"/>
            <w:spacing w:val="-2"/>
            <w:u w:val="single" w:color="0000FF"/>
          </w:rPr>
          <w:t>oip.salud.info@gmail.com</w:t>
        </w:r>
      </w:hyperlink>
    </w:p>
    <w:p w:rsidR="00AE7C0F" w:rsidRDefault="00AE7C0F">
      <w:pPr>
        <w:pStyle w:val="Textoindependiente"/>
        <w:spacing w:before="80"/>
      </w:pPr>
    </w:p>
    <w:p w:rsidR="00AE7C0F" w:rsidRDefault="0003044F">
      <w:pPr>
        <w:pStyle w:val="Textoindependiente"/>
        <w:ind w:right="14"/>
        <w:jc w:val="center"/>
      </w:pPr>
      <w:hyperlink r:id="rId10">
        <w:r>
          <w:rPr>
            <w:color w:val="0000FF"/>
            <w:spacing w:val="-2"/>
            <w:u w:val="single" w:color="0000FF"/>
          </w:rPr>
          <w:t>unidaddetransparencia@salud.cdmx.gob.mx</w:t>
        </w:r>
      </w:hyperlink>
    </w:p>
    <w:p w:rsidR="00AE7C0F" w:rsidRDefault="00AE7C0F">
      <w:pPr>
        <w:pStyle w:val="Textoindependiente"/>
        <w:spacing w:before="82"/>
      </w:pPr>
    </w:p>
    <w:p w:rsidR="00AE7C0F" w:rsidRDefault="0003044F">
      <w:pPr>
        <w:pStyle w:val="Textoindependiente"/>
        <w:ind w:left="100"/>
      </w:pP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AE7C0F" w:rsidRDefault="00AE7C0F">
      <w:pPr>
        <w:pStyle w:val="Textoindependiente"/>
        <w:spacing w:before="79"/>
      </w:pPr>
    </w:p>
    <w:p w:rsidR="00AE7C0F" w:rsidRDefault="0003044F">
      <w:pPr>
        <w:spacing w:before="1"/>
        <w:ind w:left="100"/>
      </w:pPr>
      <w:r>
        <w:rPr>
          <w:b/>
          <w:color w:val="808080"/>
          <w:spacing w:val="-2"/>
        </w:rPr>
        <w:t>Plataforma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  <w:spacing w:val="-2"/>
        </w:rPr>
        <w:t>Nacional</w:t>
      </w:r>
      <w:r>
        <w:rPr>
          <w:b/>
          <w:color w:val="808080"/>
          <w:spacing w:val="4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7"/>
        </w:rPr>
        <w:t xml:space="preserve"> </w:t>
      </w:r>
      <w:r>
        <w:rPr>
          <w:b/>
          <w:color w:val="808080"/>
          <w:spacing w:val="-2"/>
        </w:rPr>
        <w:t>Transparencia:</w:t>
      </w:r>
      <w:r>
        <w:rPr>
          <w:b/>
          <w:color w:val="808080"/>
          <w:spacing w:val="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www.plataformadetransparencia.org.mx</w:t>
        </w:r>
      </w:hyperlink>
    </w:p>
    <w:p w:rsidR="00AE7C0F" w:rsidRDefault="00AE7C0F">
      <w:pPr>
        <w:pStyle w:val="Textoindependiente"/>
        <w:spacing w:before="80"/>
      </w:pPr>
    </w:p>
    <w:p w:rsidR="00AE7C0F" w:rsidRDefault="0003044F">
      <w:pPr>
        <w:pStyle w:val="Textoindependiente"/>
        <w:spacing w:line="276" w:lineRule="auto"/>
        <w:ind w:left="100" w:right="119"/>
        <w:jc w:val="both"/>
      </w:pPr>
      <w:r>
        <w:rPr>
          <w:color w:val="808080"/>
        </w:rPr>
        <w:t>Si desea 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 procedimiento para el ejercicio de estos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puede acudir a la Unidad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Transparencia, enviar un correo electrónico a la dirección antes señalada o comunicarse al TEL-INFO (55 56364636).</w:t>
      </w:r>
    </w:p>
    <w:p w:rsidR="00AE7C0F" w:rsidRDefault="00AE7C0F">
      <w:pPr>
        <w:pStyle w:val="Textoindependiente"/>
        <w:spacing w:before="40"/>
      </w:pPr>
    </w:p>
    <w:p w:rsidR="00AE7C0F" w:rsidRDefault="0003044F">
      <w:pPr>
        <w:pStyle w:val="Textoindependiente"/>
        <w:spacing w:line="276" w:lineRule="auto"/>
        <w:ind w:left="100" w:right="112"/>
        <w:jc w:val="both"/>
      </w:pP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cambios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disponibles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AE7C0F">
      <w:pgSz w:w="12240" w:h="15840"/>
      <w:pgMar w:top="2280" w:right="900" w:bottom="1460" w:left="920" w:header="42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4F" w:rsidRDefault="0003044F">
      <w:r>
        <w:separator/>
      </w:r>
    </w:p>
  </w:endnote>
  <w:endnote w:type="continuationSeparator" w:id="0">
    <w:p w:rsidR="0003044F" w:rsidRDefault="0003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0F" w:rsidRDefault="0003044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9142094</wp:posOffset>
          </wp:positionV>
          <wp:extent cx="1550669" cy="51489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669" cy="51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9117546</wp:posOffset>
              </wp:positionV>
              <wp:extent cx="2159635" cy="4965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635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C0F" w:rsidRDefault="0003044F">
                          <w:pPr>
                            <w:spacing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AE7C0F" w:rsidRDefault="0003044F">
                          <w:pPr>
                            <w:ind w:left="20" w:right="1225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7.9pt;width:170.05pt;height:39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" filled="f" stroked="f">
              <v:textbox inset="0,0,0,0">
                <w:txbxContent>
                  <w:p w:rsidR="00AE7C0F" w:rsidRDefault="0003044F">
                    <w:pPr>
                      <w:spacing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AE7C0F" w:rsidRDefault="0003044F">
                    <w:pPr>
                      <w:ind w:left="20" w:right="1225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4F" w:rsidRDefault="0003044F">
      <w:r>
        <w:separator/>
      </w:r>
    </w:p>
  </w:footnote>
  <w:footnote w:type="continuationSeparator" w:id="0">
    <w:p w:rsidR="0003044F" w:rsidRDefault="0003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0F" w:rsidRDefault="00505119">
    <w:pPr>
      <w:pStyle w:val="Textoindependiente"/>
      <w:spacing w:line="14" w:lineRule="auto"/>
      <w:rPr>
        <w:sz w:val="20"/>
      </w:rPr>
    </w:pPr>
    <w:r w:rsidRPr="00505119">
      <w:rPr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2A277" wp14:editId="02DF9BCE">
              <wp:simplePos x="0" y="0"/>
              <wp:positionH relativeFrom="column">
                <wp:posOffset>3654425</wp:posOffset>
              </wp:positionH>
              <wp:positionV relativeFrom="paragraph">
                <wp:posOffset>-95250</wp:posOffset>
              </wp:positionV>
              <wp:extent cx="306641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64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505119" w:rsidRDefault="00505119" w:rsidP="0050511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505119" w:rsidRDefault="00505119" w:rsidP="00505119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505119" w:rsidRDefault="00505119" w:rsidP="00505119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87.75pt;margin-top:-7.5pt;width:241.45pt;height:48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505119" w:rsidRDefault="00505119" w:rsidP="00505119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505119" w:rsidRDefault="00505119" w:rsidP="00505119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505119" w:rsidRDefault="00505119" w:rsidP="00505119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505119">
      <w:rPr>
        <w:sz w:val="20"/>
      </w:rPr>
      <w:drawing>
        <wp:anchor distT="0" distB="0" distL="114300" distR="114300" simplePos="0" relativeHeight="251685888" behindDoc="0" locked="0" layoutInCell="1" allowOverlap="1" wp14:anchorId="6EBADEAC" wp14:editId="11FD62A6">
          <wp:simplePos x="0" y="0"/>
          <wp:positionH relativeFrom="column">
            <wp:posOffset>5088868</wp:posOffset>
          </wp:positionH>
          <wp:positionV relativeFrom="paragraph">
            <wp:posOffset>428625</wp:posOffset>
          </wp:positionV>
          <wp:extent cx="1522117" cy="609344"/>
          <wp:effectExtent l="0" t="0" r="190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5" cy="612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44F">
      <w:rPr>
        <w:noProof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41956"/>
    <w:multiLevelType w:val="hybridMultilevel"/>
    <w:tmpl w:val="6314768A"/>
    <w:lvl w:ilvl="0" w:tplc="0A281B5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830A856A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C53401B8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31DE7882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97BCAD2E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62CA380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1342509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8A8ED926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3244AFA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0F"/>
    <w:rsid w:val="0003044F"/>
    <w:rsid w:val="00505119"/>
    <w:rsid w:val="00AE7C0F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" w:right="1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56" w:right="387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5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119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1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119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2024-07-03T19:44:00Z</dcterms:created>
  <dcterms:modified xsi:type="dcterms:W3CDTF">2024-07-03T19:44:00Z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