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65" w:rsidRDefault="00914801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INTEGRAL</w:t>
      </w:r>
    </w:p>
    <w:p w:rsidR="00F41965" w:rsidRDefault="00F41965">
      <w:pPr>
        <w:pStyle w:val="Textoindependiente"/>
        <w:spacing w:before="82"/>
        <w:rPr>
          <w:b/>
        </w:rPr>
      </w:pPr>
    </w:p>
    <w:p w:rsidR="00F41965" w:rsidRDefault="00914801">
      <w:pPr>
        <w:pStyle w:val="Textoindependiente"/>
        <w:spacing w:line="276" w:lineRule="auto"/>
        <w:ind w:left="100" w:right="103"/>
        <w:jc w:val="both"/>
      </w:pPr>
      <w:r>
        <w:rPr>
          <w:color w:val="808080"/>
        </w:rPr>
        <w:t>La Secretaría de Salud de la Ciudad de México a través de la Subsecretaría de Prestación de Servicios Médicos e Insumos, con domicilio en Avenida Insurgentes Norte, No. 423, piso 20, Colonia Conjunto Urbano Nonoalco Tlatelolco, Alcaldía Cuauhtémoc, C.P. 06</w:t>
      </w:r>
      <w:r>
        <w:rPr>
          <w:color w:val="808080"/>
        </w:rPr>
        <w:t>900, Ciudad de México, es la responsable del tratamiento de los datos personales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Persona</w:t>
      </w:r>
      <w:bookmarkStart w:id="0" w:name="_GoBack"/>
      <w:bookmarkEnd w:id="0"/>
      <w:r>
        <w:rPr>
          <w:color w:val="808080"/>
        </w:rPr>
        <w:t>les</w:t>
      </w:r>
      <w:r>
        <w:rPr>
          <w:color w:val="808080"/>
          <w:spacing w:val="-11"/>
        </w:rPr>
        <w:t xml:space="preserve"> </w:t>
      </w:r>
      <w:r>
        <w:rPr>
          <w:b/>
          <w:color w:val="808080"/>
        </w:rPr>
        <w:t>“Capacitación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 xml:space="preserve">Voluntad Anticipada y Cuidados Paliativos”, </w:t>
      </w:r>
      <w:r>
        <w:rPr>
          <w:color w:val="808080"/>
        </w:rPr>
        <w:t>facultad que le confiere el siguiente f</w:t>
      </w:r>
      <w:r>
        <w:rPr>
          <w:color w:val="808080"/>
        </w:rPr>
        <w:t>undamento legal:</w:t>
      </w:r>
    </w:p>
    <w:p w:rsidR="00F41965" w:rsidRDefault="00F41965">
      <w:pPr>
        <w:pStyle w:val="Textoindependiente"/>
        <w:spacing w:before="40"/>
      </w:pPr>
    </w:p>
    <w:p w:rsidR="00F41965" w:rsidRDefault="00914801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Artículos 6, apartado A y 16, párrafo segundo de la Constitución Política de los Estados Unidos Mexicanos; 7, 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77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77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IX, 89, 112 fracción III, 166 Bis 3 fracciones V, VI y VIII, 166 Bis 4 al 166 Bis 12, 166 Bis 15 fracciones II, IV, V y VII de la Ley General de Salud ; 3, fracción XI, 11, fracción I, 16, fracción XV y 40, fracciones XIV y XXIV de la Ley Orgánica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Pode</w:t>
      </w:r>
      <w:r>
        <w:rPr>
          <w:color w:val="808080"/>
        </w:rPr>
        <w:t>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Administración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la Ciudad de México; 24, fracción XXIII y 186 de la Ley de Transparencia, Acceso a la Información Pública y Rendición de Cuentas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23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</w:t>
      </w:r>
      <w:r>
        <w:rPr>
          <w:color w:val="808080"/>
        </w:rPr>
        <w:t>cciones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76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8"/>
        </w:rPr>
        <w:t xml:space="preserve"> </w:t>
      </w:r>
      <w:proofErr w:type="spellStart"/>
      <w:r>
        <w:rPr>
          <w:color w:val="808080"/>
        </w:rPr>
        <w:t>VIIIde</w:t>
      </w:r>
      <w:proofErr w:type="spellEnd"/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Protección de Datos Personales en Posesión de Sujetos Obligados de la Ciudad de México; 3, 5, 12, fracciones I, III, VI y XII y 14 de la Ley de Archivos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 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México; 138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Bis 12; y bis13 del Reglamento de la Ley 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inciso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Poder Ejecutivo y de la Administración Pública de la Ciudad de México; 63, 64 y 65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sobre Protección de Datos Personales en Posesión de Sujetos Obligados de la Ciudad de México.</w:t>
      </w:r>
    </w:p>
    <w:p w:rsidR="00F41965" w:rsidRDefault="00F41965">
      <w:pPr>
        <w:pStyle w:val="Textoindependiente"/>
        <w:spacing w:before="39"/>
      </w:pPr>
    </w:p>
    <w:p w:rsidR="00F41965" w:rsidRDefault="00914801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Los datos personales recabados, serán utilizados con la finalidad de procesar y registrar la información identificativa de los asis</w:t>
      </w:r>
      <w:r>
        <w:rPr>
          <w:color w:val="808080"/>
        </w:rPr>
        <w:t xml:space="preserve">tentes y ponentes que acuden a los Cursos, Talleres, Congresos, Simposios, Diplomados, Seminarios o </w:t>
      </w:r>
      <w:proofErr w:type="spellStart"/>
      <w:r>
        <w:rPr>
          <w:color w:val="808080"/>
        </w:rPr>
        <w:t>Webinar</w:t>
      </w:r>
      <w:proofErr w:type="spellEnd"/>
      <w:r>
        <w:rPr>
          <w:color w:val="808080"/>
        </w:rPr>
        <w:t xml:space="preserve"> en materia de Cuidados Paliativos o Voluntad Anticipada.</w:t>
      </w:r>
    </w:p>
    <w:p w:rsidR="00F41965" w:rsidRDefault="00F41965">
      <w:pPr>
        <w:pStyle w:val="Textoindependiente"/>
        <w:spacing w:before="41"/>
      </w:pPr>
    </w:p>
    <w:p w:rsidR="00F41965" w:rsidRDefault="00914801">
      <w:pPr>
        <w:pStyle w:val="Textoindependiente"/>
        <w:spacing w:line="276" w:lineRule="auto"/>
        <w:ind w:left="100" w:right="118"/>
        <w:jc w:val="both"/>
      </w:pPr>
      <w:r>
        <w:rPr>
          <w:color w:val="808080"/>
        </w:rPr>
        <w:t>Para su uso,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 prevé integrar de manera ordenada y sistemática la información de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asis</w:t>
      </w:r>
      <w:r>
        <w:rPr>
          <w:color w:val="808080"/>
        </w:rPr>
        <w:t>tentes y ponentes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fin de mantener un registro del personal de salud y proporcionar una constancia con Valor Curricular.</w:t>
      </w:r>
    </w:p>
    <w:p w:rsidR="00F41965" w:rsidRDefault="00F41965">
      <w:pPr>
        <w:pStyle w:val="Textoindependiente"/>
        <w:spacing w:before="40"/>
      </w:pPr>
    </w:p>
    <w:p w:rsidR="00F41965" w:rsidRDefault="00914801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Así mismo, se le informa que sus datos personales 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</w:t>
      </w:r>
      <w:r>
        <w:rPr>
          <w:color w:val="808080"/>
        </w:rPr>
        <w:t>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:rsidR="00F41965" w:rsidRDefault="00F41965">
      <w:pPr>
        <w:pStyle w:val="Textoindependiente"/>
        <w:spacing w:before="41"/>
      </w:pPr>
    </w:p>
    <w:p w:rsidR="00F41965" w:rsidRDefault="00914801">
      <w:pPr>
        <w:pStyle w:val="Textoindependiente"/>
        <w:spacing w:before="1" w:line="276" w:lineRule="auto"/>
        <w:ind w:left="100" w:right="103"/>
        <w:jc w:val="both"/>
      </w:pPr>
      <w:r>
        <w:rPr>
          <w:color w:val="808080"/>
        </w:rPr>
        <w:t>La transferencia de Datos Personales será únicamente a Organismos Garantes y Autoridades Judiciales o Ad</w:t>
      </w:r>
      <w:r>
        <w:rPr>
          <w:color w:val="808080"/>
        </w:rPr>
        <w:t>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ser 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:rsidR="00F41965" w:rsidRDefault="00F41965">
      <w:pPr>
        <w:spacing w:line="276" w:lineRule="auto"/>
        <w:jc w:val="both"/>
        <w:sectPr w:rsidR="00F41965">
          <w:headerReference w:type="default" r:id="rId7"/>
          <w:footerReference w:type="default" r:id="rId8"/>
          <w:type w:val="continuous"/>
          <w:pgSz w:w="12240" w:h="15840"/>
          <w:pgMar w:top="2260" w:right="900" w:bottom="1460" w:left="920" w:header="420" w:footer="1262" w:gutter="0"/>
          <w:pgNumType w:start="1"/>
          <w:cols w:space="720"/>
        </w:sectPr>
      </w:pPr>
    </w:p>
    <w:p w:rsidR="00F41965" w:rsidRDefault="00914801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right="528"/>
        <w:jc w:val="both"/>
      </w:pPr>
      <w:r>
        <w:rPr>
          <w:b/>
          <w:color w:val="808080"/>
        </w:rPr>
        <w:lastRenderedPageBreak/>
        <w:t xml:space="preserve">Comisión Nacional de Arbitraje Médico; </w:t>
      </w:r>
      <w:r>
        <w:rPr>
          <w:color w:val="808080"/>
        </w:rPr>
        <w:t>en aquellos casos en que se investiguen asuntos relacionados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justificados 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 usuarios, en relación con las quejas planteadas y en su caso, aquéllas otras que sean necesarias para dilucidar quejas y realizar las diligencias correspondientes.</w:t>
      </w:r>
    </w:p>
    <w:p w:rsidR="00F41965" w:rsidRDefault="00F41965">
      <w:pPr>
        <w:pStyle w:val="Textoindependiente"/>
        <w:spacing w:before="29"/>
      </w:pPr>
    </w:p>
    <w:p w:rsidR="00F41965" w:rsidRDefault="00914801">
      <w:pPr>
        <w:pStyle w:val="Prrafodelista"/>
        <w:numPr>
          <w:ilvl w:val="0"/>
          <w:numId w:val="1"/>
        </w:numPr>
        <w:tabs>
          <w:tab w:val="left" w:pos="820"/>
        </w:tabs>
        <w:spacing w:line="273" w:lineRule="auto"/>
        <w:ind w:left="820" w:hanging="360"/>
      </w:pPr>
      <w:r>
        <w:rPr>
          <w:b/>
          <w:color w:val="808080"/>
        </w:rPr>
        <w:t xml:space="preserve">Secretaría de Salud; </w:t>
      </w:r>
      <w:r>
        <w:rPr>
          <w:color w:val="808080"/>
        </w:rPr>
        <w:t>con la finalidad de ejecutar los programas de servicios de salud y la formación 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recursos humanos para la salud.</w:t>
      </w:r>
    </w:p>
    <w:p w:rsidR="00F41965" w:rsidRDefault="00F41965">
      <w:pPr>
        <w:pStyle w:val="Textoindependiente"/>
        <w:spacing w:before="46"/>
      </w:pPr>
    </w:p>
    <w:p w:rsidR="00F41965" w:rsidRDefault="00914801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right="535"/>
        <w:jc w:val="both"/>
      </w:pPr>
      <w:r>
        <w:rPr>
          <w:b/>
          <w:color w:val="808080"/>
        </w:rPr>
        <w:t>Instituto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Nacional 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Transparencia,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Acceso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a 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Información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y Protección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de Datos Personales; </w:t>
      </w:r>
      <w:r>
        <w:rPr>
          <w:color w:val="808080"/>
        </w:rPr>
        <w:t>a fin de conocer los recursos de revisión que por su interés y trascendencia así lo ameriten y la sustanciación a los recursos de inconformidad a las determinaciones o resoluciones del Instituto de Acceso a la Información Pública y Protección de Datos Pers</w:t>
      </w:r>
      <w:r>
        <w:rPr>
          <w:color w:val="808080"/>
        </w:rPr>
        <w:t>onales de la Ciudad de México.</w:t>
      </w:r>
    </w:p>
    <w:p w:rsidR="00F41965" w:rsidRDefault="00F41965">
      <w:pPr>
        <w:pStyle w:val="Textoindependiente"/>
        <w:spacing w:before="41"/>
      </w:pPr>
    </w:p>
    <w:p w:rsidR="00F41965" w:rsidRDefault="00914801">
      <w:pPr>
        <w:pStyle w:val="Prrafodelista"/>
        <w:numPr>
          <w:ilvl w:val="0"/>
          <w:numId w:val="1"/>
        </w:numPr>
        <w:tabs>
          <w:tab w:val="left" w:pos="856"/>
        </w:tabs>
        <w:spacing w:before="1" w:line="276" w:lineRule="auto"/>
        <w:ind w:right="533"/>
        <w:jc w:val="both"/>
      </w:pPr>
      <w:r>
        <w:rPr>
          <w:b/>
          <w:color w:val="808080"/>
        </w:rPr>
        <w:t xml:space="preserve">Instituto de Acceso a la Información Pública y Protección de Datos Personales de la Ciudad de México; </w:t>
      </w:r>
      <w:r>
        <w:rPr>
          <w:color w:val="808080"/>
        </w:rPr>
        <w:t>toda información necesaria para conocer, sustanciar y resolver los recursos de revisión interpuestos por los titulares, re</w:t>
      </w:r>
      <w:r>
        <w:rPr>
          <w:color w:val="808080"/>
        </w:rPr>
        <w:t>cursos de inconformidad, procedimientos de verificación y para determinar el probable incumplimiento de la Ley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F41965" w:rsidRDefault="00F41965">
      <w:pPr>
        <w:pStyle w:val="Textoindependiente"/>
        <w:spacing w:before="40"/>
      </w:pPr>
    </w:p>
    <w:p w:rsidR="00F41965" w:rsidRDefault="00914801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</w:t>
      </w:r>
      <w:r>
        <w:rPr>
          <w:color w:val="808080"/>
        </w:rPr>
        <w:t>rsonales,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documento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 elabora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Notaría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Pública, 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 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requisita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Hospitales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México y la Red Hospitalaria de esta Dependencia:</w:t>
      </w:r>
    </w:p>
    <w:p w:rsidR="00F41965" w:rsidRDefault="00F41965">
      <w:pPr>
        <w:pStyle w:val="Textoindependiente"/>
        <w:spacing w:before="41"/>
      </w:pPr>
    </w:p>
    <w:p w:rsidR="00F41965" w:rsidRDefault="00914801">
      <w:pPr>
        <w:pStyle w:val="Prrafodelista"/>
        <w:numPr>
          <w:ilvl w:val="0"/>
          <w:numId w:val="1"/>
        </w:numPr>
        <w:tabs>
          <w:tab w:val="left" w:pos="856"/>
        </w:tabs>
        <w:spacing w:line="273" w:lineRule="auto"/>
        <w:ind w:right="851"/>
      </w:pPr>
      <w:r>
        <w:rPr>
          <w:b/>
          <w:color w:val="808080"/>
        </w:rPr>
        <w:t>Datos</w:t>
      </w:r>
      <w:r>
        <w:rPr>
          <w:b/>
          <w:color w:val="808080"/>
          <w:spacing w:val="23"/>
        </w:rPr>
        <w:t xml:space="preserve"> </w:t>
      </w:r>
      <w:r>
        <w:rPr>
          <w:b/>
          <w:color w:val="808080"/>
        </w:rPr>
        <w:t xml:space="preserve">identificativos: </w:t>
      </w:r>
      <w:r>
        <w:rPr>
          <w:color w:val="808080"/>
        </w:rPr>
        <w:t>Nombre,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correo electrónico, teléfono, profesión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 xml:space="preserve">la Unidad Médica de </w:t>
      </w:r>
      <w:r>
        <w:rPr>
          <w:color w:val="808080"/>
          <w:spacing w:val="-2"/>
        </w:rPr>
        <w:t>Adscripción.</w:t>
      </w:r>
    </w:p>
    <w:p w:rsidR="00F41965" w:rsidRDefault="00F41965">
      <w:pPr>
        <w:pStyle w:val="Textoindependiente"/>
        <w:spacing w:before="45"/>
      </w:pPr>
    </w:p>
    <w:p w:rsidR="00F41965" w:rsidRDefault="00914801">
      <w:pPr>
        <w:pStyle w:val="Prrafodelista"/>
        <w:numPr>
          <w:ilvl w:val="0"/>
          <w:numId w:val="1"/>
        </w:numPr>
        <w:tabs>
          <w:tab w:val="left" w:pos="856"/>
        </w:tabs>
        <w:spacing w:before="1" w:line="271" w:lineRule="auto"/>
        <w:ind w:right="841"/>
      </w:pPr>
      <w:r>
        <w:rPr>
          <w:b/>
          <w:color w:val="808080"/>
        </w:rPr>
        <w:t>Datos</w:t>
      </w:r>
      <w:r>
        <w:rPr>
          <w:b/>
          <w:color w:val="808080"/>
          <w:spacing w:val="3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1"/>
        </w:rPr>
        <w:t xml:space="preserve"> </w:t>
      </w:r>
      <w:r>
        <w:rPr>
          <w:b/>
          <w:color w:val="808080"/>
        </w:rPr>
        <w:t>carácter</w:t>
      </w:r>
      <w:r>
        <w:rPr>
          <w:b/>
          <w:color w:val="808080"/>
          <w:spacing w:val="28"/>
        </w:rPr>
        <w:t xml:space="preserve"> </w:t>
      </w:r>
      <w:r>
        <w:rPr>
          <w:b/>
          <w:color w:val="808080"/>
        </w:rPr>
        <w:t>obligatorio</w:t>
      </w:r>
      <w:r>
        <w:rPr>
          <w:b/>
          <w:color w:val="808080"/>
          <w:spacing w:val="32"/>
        </w:rPr>
        <w:t xml:space="preserve"> </w:t>
      </w:r>
      <w:r>
        <w:rPr>
          <w:b/>
          <w:color w:val="808080"/>
        </w:rPr>
        <w:t>y</w:t>
      </w:r>
      <w:r>
        <w:rPr>
          <w:b/>
          <w:color w:val="808080"/>
          <w:spacing w:val="30"/>
        </w:rPr>
        <w:t xml:space="preserve"> </w:t>
      </w:r>
      <w:r>
        <w:rPr>
          <w:b/>
          <w:color w:val="808080"/>
        </w:rPr>
        <w:t>facultativo:</w:t>
      </w:r>
      <w:r>
        <w:rPr>
          <w:b/>
          <w:color w:val="808080"/>
          <w:spacing w:val="37"/>
        </w:rPr>
        <w:t xml:space="preserve"> </w:t>
      </w:r>
      <w:r>
        <w:rPr>
          <w:color w:val="808080"/>
        </w:rPr>
        <w:t>Todos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recabados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necesarios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para integrar y elaborar una Constancia Académica con Valor Curricular</w:t>
      </w:r>
    </w:p>
    <w:p w:rsidR="00F41965" w:rsidRDefault="00F41965">
      <w:pPr>
        <w:pStyle w:val="Textoindependiente"/>
        <w:spacing w:before="48"/>
      </w:pPr>
    </w:p>
    <w:p w:rsidR="00F41965" w:rsidRDefault="00914801">
      <w:pPr>
        <w:pStyle w:val="Textoindependiente"/>
        <w:spacing w:line="273" w:lineRule="auto"/>
        <w:ind w:left="100" w:right="113"/>
        <w:jc w:val="both"/>
      </w:pPr>
      <w:r>
        <w:rPr>
          <w:color w:val="808080"/>
        </w:rPr>
        <w:t>Dicha información, se conservará 1 año de archivo de trámite y 1 año en el archivo de concentración, de acuerdo con las vigencias establecidas en el Catálogo de Disposición Documental de esta Dependencia.</w:t>
      </w:r>
    </w:p>
    <w:p w:rsidR="00F41965" w:rsidRDefault="00F41965">
      <w:pPr>
        <w:spacing w:line="273" w:lineRule="auto"/>
        <w:jc w:val="both"/>
        <w:sectPr w:rsidR="00F41965">
          <w:pgSz w:w="12240" w:h="15840"/>
          <w:pgMar w:top="2260" w:right="900" w:bottom="1460" w:left="920" w:header="420" w:footer="1262" w:gutter="0"/>
          <w:cols w:space="720"/>
        </w:sectPr>
      </w:pPr>
    </w:p>
    <w:p w:rsidR="00F41965" w:rsidRDefault="00914801">
      <w:pPr>
        <w:pStyle w:val="Textoindependiente"/>
        <w:spacing w:line="223" w:lineRule="exact"/>
        <w:ind w:left="100"/>
        <w:jc w:val="both"/>
      </w:pPr>
      <w:r>
        <w:rPr>
          <w:color w:val="808080"/>
        </w:rPr>
        <w:lastRenderedPageBreak/>
        <w:t>Usted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ejercer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a</w:t>
      </w:r>
      <w:r>
        <w:rPr>
          <w:color w:val="808080"/>
        </w:rPr>
        <w:t>cceso,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rectificación,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cancelación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oposición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1"/>
        </w:rPr>
        <w:t xml:space="preserve"> </w:t>
      </w:r>
      <w:r>
        <w:rPr>
          <w:color w:val="808080"/>
          <w:spacing w:val="-2"/>
        </w:rPr>
        <w:t>personales</w:t>
      </w:r>
    </w:p>
    <w:p w:rsidR="00F41965" w:rsidRDefault="00914801">
      <w:pPr>
        <w:pStyle w:val="Textoindependiente"/>
        <w:spacing w:before="38" w:line="276" w:lineRule="auto"/>
        <w:ind w:left="100" w:right="107"/>
        <w:jc w:val="both"/>
      </w:pPr>
      <w:r>
        <w:rPr>
          <w:color w:val="808080"/>
        </w:rPr>
        <w:t>(derechos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ARCO),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revocación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consentimiento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Secretaría de Salud de la Ciudad de México, con domicilio en Avenida Insurgentes Norte, No. 423, 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Nonoalco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Tlatelolco,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Cuauhtémoc,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C.P.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06900,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 número telefónico 55 5132 1250, extensión 1</w:t>
      </w:r>
      <w:r>
        <w:rPr>
          <w:color w:val="808080"/>
        </w:rPr>
        <w:t>344, o bien, a través de los correos electrónicos:</w:t>
      </w:r>
    </w:p>
    <w:p w:rsidR="00F41965" w:rsidRDefault="00F41965">
      <w:pPr>
        <w:pStyle w:val="Textoindependiente"/>
        <w:spacing w:before="39"/>
      </w:pPr>
    </w:p>
    <w:p w:rsidR="00F41965" w:rsidRDefault="00914801">
      <w:pPr>
        <w:pStyle w:val="Textoindependiente"/>
        <w:spacing w:before="1"/>
        <w:ind w:left="1" w:right="14"/>
        <w:jc w:val="center"/>
      </w:pPr>
      <w:hyperlink r:id="rId9">
        <w:r>
          <w:rPr>
            <w:color w:val="0000FF"/>
            <w:spacing w:val="-2"/>
            <w:u w:val="single" w:color="0000FF"/>
          </w:rPr>
          <w:t>oip.salud.info@gmail.com</w:t>
        </w:r>
      </w:hyperlink>
    </w:p>
    <w:p w:rsidR="00F41965" w:rsidRDefault="00F41965">
      <w:pPr>
        <w:pStyle w:val="Textoindependiente"/>
        <w:spacing w:before="84"/>
      </w:pPr>
    </w:p>
    <w:p w:rsidR="00F41965" w:rsidRDefault="00914801">
      <w:pPr>
        <w:pStyle w:val="Textoindependiente"/>
        <w:ind w:right="14"/>
        <w:jc w:val="center"/>
      </w:pPr>
      <w:hyperlink r:id="rId10">
        <w:r>
          <w:rPr>
            <w:color w:val="0000FF"/>
            <w:spacing w:val="-2"/>
            <w:u w:val="single" w:color="0000FF"/>
          </w:rPr>
          <w:t>unidaddetransparencia@salud.cdmx.gob.mx</w:t>
        </w:r>
      </w:hyperlink>
    </w:p>
    <w:p w:rsidR="00F41965" w:rsidRDefault="00F41965">
      <w:pPr>
        <w:pStyle w:val="Textoindependiente"/>
        <w:spacing w:before="80"/>
      </w:pPr>
    </w:p>
    <w:p w:rsidR="00F41965" w:rsidRDefault="00914801">
      <w:pPr>
        <w:pStyle w:val="Textoindependiente"/>
        <w:ind w:left="100"/>
      </w:pP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F41965" w:rsidRDefault="00F41965">
      <w:pPr>
        <w:pStyle w:val="Textoindependiente"/>
        <w:spacing w:before="80"/>
      </w:pPr>
    </w:p>
    <w:p w:rsidR="00F41965" w:rsidRDefault="00914801">
      <w:pPr>
        <w:ind w:left="100"/>
      </w:pPr>
      <w:r>
        <w:rPr>
          <w:b/>
          <w:color w:val="808080"/>
          <w:spacing w:val="-2"/>
        </w:rPr>
        <w:t>Plataforma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  <w:spacing w:val="-2"/>
        </w:rPr>
        <w:t>Nacional</w:t>
      </w:r>
      <w:r>
        <w:rPr>
          <w:b/>
          <w:color w:val="808080"/>
          <w:spacing w:val="4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7"/>
        </w:rPr>
        <w:t xml:space="preserve"> </w:t>
      </w:r>
      <w:r>
        <w:rPr>
          <w:b/>
          <w:color w:val="808080"/>
          <w:spacing w:val="-2"/>
        </w:rPr>
        <w:t>Transparencia:</w:t>
      </w:r>
      <w:r>
        <w:rPr>
          <w:b/>
          <w:color w:val="808080"/>
          <w:spacing w:val="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www.plataformadetransparencia.org.mx</w:t>
        </w:r>
      </w:hyperlink>
    </w:p>
    <w:p w:rsidR="00F41965" w:rsidRDefault="00F41965">
      <w:pPr>
        <w:pStyle w:val="Textoindependiente"/>
        <w:spacing w:before="82"/>
      </w:pPr>
    </w:p>
    <w:p w:rsidR="00F41965" w:rsidRDefault="00914801">
      <w:pPr>
        <w:pStyle w:val="Textoindependiente"/>
        <w:spacing w:line="271" w:lineRule="auto"/>
        <w:ind w:left="100" w:right="119"/>
        <w:jc w:val="both"/>
      </w:pPr>
      <w:r>
        <w:rPr>
          <w:color w:val="808080"/>
        </w:rPr>
        <w:t>Si desea 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 procedimiento para el ejercicio de estos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puede acudir a la Unidad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Transparencia, enviar un correo electrónico a la dirección antes señalada o comunicarse al TEL-INFO (55 56364636).</w:t>
      </w:r>
    </w:p>
    <w:p w:rsidR="00F41965" w:rsidRDefault="00F41965">
      <w:pPr>
        <w:pStyle w:val="Textoindependiente"/>
        <w:spacing w:before="49"/>
      </w:pPr>
    </w:p>
    <w:p w:rsidR="00F41965" w:rsidRDefault="00914801">
      <w:pPr>
        <w:pStyle w:val="Textoindependiente"/>
        <w:spacing w:line="276" w:lineRule="auto"/>
        <w:ind w:left="100" w:right="112"/>
        <w:jc w:val="both"/>
      </w:pP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cambios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disponibles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F41965">
      <w:pgSz w:w="12240" w:h="15840"/>
      <w:pgMar w:top="2280" w:right="900" w:bottom="1460" w:left="920" w:header="42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801" w:rsidRDefault="00914801">
      <w:r>
        <w:separator/>
      </w:r>
    </w:p>
  </w:endnote>
  <w:endnote w:type="continuationSeparator" w:id="0">
    <w:p w:rsidR="00914801" w:rsidRDefault="009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65" w:rsidRDefault="0091480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9142094</wp:posOffset>
          </wp:positionV>
          <wp:extent cx="1550669" cy="51489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669" cy="51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9117546</wp:posOffset>
              </wp:positionV>
              <wp:extent cx="2160270" cy="4965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1965" w:rsidRDefault="00914801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F41965" w:rsidRDefault="00914801">
                          <w:pPr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7.9pt;width:170.1pt;height:39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" filled="f" stroked="f">
              <v:textbox inset="0,0,0,0">
                <w:txbxContent>
                  <w:p w:rsidR="00F41965" w:rsidRDefault="00914801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F41965" w:rsidRDefault="00914801">
                    <w:pPr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801" w:rsidRDefault="00914801">
      <w:r>
        <w:separator/>
      </w:r>
    </w:p>
  </w:footnote>
  <w:footnote w:type="continuationSeparator" w:id="0">
    <w:p w:rsidR="00914801" w:rsidRDefault="0091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65" w:rsidRDefault="009D6C3C">
    <w:pPr>
      <w:pStyle w:val="Textoindependiente"/>
      <w:spacing w:line="14" w:lineRule="auto"/>
      <w:rPr>
        <w:sz w:val="20"/>
      </w:rPr>
    </w:pPr>
    <w:r w:rsidRPr="009D6C3C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C2A277" wp14:editId="02DF9BCE">
              <wp:simplePos x="0" y="0"/>
              <wp:positionH relativeFrom="column">
                <wp:posOffset>3406775</wp:posOffset>
              </wp:positionH>
              <wp:positionV relativeFrom="paragraph">
                <wp:posOffset>0</wp:posOffset>
              </wp:positionV>
              <wp:extent cx="325691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69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D6C3C" w:rsidRDefault="009D6C3C" w:rsidP="009D6C3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9D6C3C" w:rsidRDefault="009D6C3C" w:rsidP="009D6C3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9D6C3C" w:rsidRDefault="009D6C3C" w:rsidP="009D6C3C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68.25pt;margin-top:0;width:256.45pt;height:48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9D6C3C" w:rsidRDefault="009D6C3C" w:rsidP="009D6C3C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9D6C3C" w:rsidRDefault="009D6C3C" w:rsidP="009D6C3C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9D6C3C" w:rsidRDefault="009D6C3C" w:rsidP="009D6C3C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9D6C3C">
      <w:rPr>
        <w:sz w:val="20"/>
      </w:rPr>
      <w:drawing>
        <wp:anchor distT="0" distB="0" distL="114300" distR="114300" simplePos="0" relativeHeight="251679232" behindDoc="0" locked="0" layoutInCell="1" allowOverlap="1" wp14:anchorId="6EBADEAC" wp14:editId="11FD62A6">
          <wp:simplePos x="0" y="0"/>
          <wp:positionH relativeFrom="column">
            <wp:posOffset>4937157</wp:posOffset>
          </wp:positionH>
          <wp:positionV relativeFrom="paragraph">
            <wp:posOffset>523875</wp:posOffset>
          </wp:positionV>
          <wp:extent cx="1616678" cy="609344"/>
          <wp:effectExtent l="0" t="0" r="317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70" cy="610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801">
      <w:rPr>
        <w:noProof/>
      </w:rPr>
      <w:drawing>
        <wp:anchor distT="0" distB="0" distL="0" distR="0" simplePos="0" relativeHeight="251636224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1BD4"/>
    <w:multiLevelType w:val="hybridMultilevel"/>
    <w:tmpl w:val="9752A446"/>
    <w:lvl w:ilvl="0" w:tplc="A1C4804E">
      <w:numFmt w:val="bullet"/>
      <w:lvlText w:val=""/>
      <w:lvlJc w:val="left"/>
      <w:pPr>
        <w:ind w:left="856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BE1261E6">
      <w:numFmt w:val="bullet"/>
      <w:lvlText w:val="•"/>
      <w:lvlJc w:val="left"/>
      <w:pPr>
        <w:ind w:left="1816" w:hanging="365"/>
      </w:pPr>
      <w:rPr>
        <w:rFonts w:hint="default"/>
        <w:lang w:val="es-ES" w:eastAsia="en-US" w:bidi="ar-SA"/>
      </w:rPr>
    </w:lvl>
    <w:lvl w:ilvl="2" w:tplc="135C1D3E">
      <w:numFmt w:val="bullet"/>
      <w:lvlText w:val="•"/>
      <w:lvlJc w:val="left"/>
      <w:pPr>
        <w:ind w:left="2772" w:hanging="365"/>
      </w:pPr>
      <w:rPr>
        <w:rFonts w:hint="default"/>
        <w:lang w:val="es-ES" w:eastAsia="en-US" w:bidi="ar-SA"/>
      </w:rPr>
    </w:lvl>
    <w:lvl w:ilvl="3" w:tplc="3F0ADEEE">
      <w:numFmt w:val="bullet"/>
      <w:lvlText w:val="•"/>
      <w:lvlJc w:val="left"/>
      <w:pPr>
        <w:ind w:left="3728" w:hanging="365"/>
      </w:pPr>
      <w:rPr>
        <w:rFonts w:hint="default"/>
        <w:lang w:val="es-ES" w:eastAsia="en-US" w:bidi="ar-SA"/>
      </w:rPr>
    </w:lvl>
    <w:lvl w:ilvl="4" w:tplc="CBE4751C">
      <w:numFmt w:val="bullet"/>
      <w:lvlText w:val="•"/>
      <w:lvlJc w:val="left"/>
      <w:pPr>
        <w:ind w:left="4684" w:hanging="365"/>
      </w:pPr>
      <w:rPr>
        <w:rFonts w:hint="default"/>
        <w:lang w:val="es-ES" w:eastAsia="en-US" w:bidi="ar-SA"/>
      </w:rPr>
    </w:lvl>
    <w:lvl w:ilvl="5" w:tplc="0CE8A5BA">
      <w:numFmt w:val="bullet"/>
      <w:lvlText w:val="•"/>
      <w:lvlJc w:val="left"/>
      <w:pPr>
        <w:ind w:left="5640" w:hanging="365"/>
      </w:pPr>
      <w:rPr>
        <w:rFonts w:hint="default"/>
        <w:lang w:val="es-ES" w:eastAsia="en-US" w:bidi="ar-SA"/>
      </w:rPr>
    </w:lvl>
    <w:lvl w:ilvl="6" w:tplc="4EA6CF00">
      <w:numFmt w:val="bullet"/>
      <w:lvlText w:val="•"/>
      <w:lvlJc w:val="left"/>
      <w:pPr>
        <w:ind w:left="6596" w:hanging="365"/>
      </w:pPr>
      <w:rPr>
        <w:rFonts w:hint="default"/>
        <w:lang w:val="es-ES" w:eastAsia="en-US" w:bidi="ar-SA"/>
      </w:rPr>
    </w:lvl>
    <w:lvl w:ilvl="7" w:tplc="B010E866">
      <w:numFmt w:val="bullet"/>
      <w:lvlText w:val="•"/>
      <w:lvlJc w:val="left"/>
      <w:pPr>
        <w:ind w:left="7552" w:hanging="365"/>
      </w:pPr>
      <w:rPr>
        <w:rFonts w:hint="default"/>
        <w:lang w:val="es-ES" w:eastAsia="en-US" w:bidi="ar-SA"/>
      </w:rPr>
    </w:lvl>
    <w:lvl w:ilvl="8" w:tplc="22986874">
      <w:numFmt w:val="bullet"/>
      <w:lvlText w:val="•"/>
      <w:lvlJc w:val="left"/>
      <w:pPr>
        <w:ind w:left="8508" w:hanging="3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5"/>
    <w:rsid w:val="00914801"/>
    <w:rsid w:val="009D6C3C"/>
    <w:rsid w:val="00F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58" w:lineRule="exact"/>
      <w:ind w:left="2" w:right="1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56" w:right="157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6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C3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6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3C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2024-07-03T19:50:00Z</dcterms:created>
  <dcterms:modified xsi:type="dcterms:W3CDTF">2024-07-03T19:50:00Z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